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D9D20">
      <w:pPr>
        <w:widowControl w:val="0"/>
        <w:kinsoku/>
        <w:autoSpaceDE/>
        <w:autoSpaceDN/>
        <w:spacing w:line="600" w:lineRule="exac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湖北第二师范学院2024年度</w:t>
      </w:r>
    </w:p>
    <w:p w14:paraId="63E83505">
      <w:pPr>
        <w:widowControl w:val="0"/>
        <w:kinsoku/>
        <w:autoSpaceDE/>
        <w:autoSpaceDN/>
        <w:spacing w:line="600" w:lineRule="exact"/>
        <w:jc w:val="center"/>
        <w:textAlignment w:val="auto"/>
        <w:rPr>
          <w:color w:val="auto"/>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中外合作办学项目办学报告</w:t>
      </w:r>
    </w:p>
    <w:p w14:paraId="3C4B6EFA">
      <w:pPr>
        <w:kinsoku/>
        <w:spacing w:line="540" w:lineRule="exact"/>
        <w:jc w:val="both"/>
        <w:rPr>
          <w:lang w:eastAsia="zh-CN"/>
        </w:rPr>
      </w:pPr>
    </w:p>
    <w:p w14:paraId="139D6383">
      <w:pPr>
        <w:widowControl w:val="0"/>
        <w:kinsoku/>
        <w:autoSpaceDE/>
        <w:autoSpaceDN/>
        <w:spacing w:line="360" w:lineRule="auto"/>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一、办学基本情况</w:t>
      </w:r>
    </w:p>
    <w:p w14:paraId="5006D4F2">
      <w:pPr>
        <w:widowControl w:val="0"/>
        <w:numPr>
          <w:ilvl w:val="0"/>
          <w:numId w:val="1"/>
        </w:numPr>
        <w:kinsoku/>
        <w:autoSpaceDE/>
        <w:autoSpaceDN/>
        <w:spacing w:line="360" w:lineRule="auto"/>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项目基本信息</w:t>
      </w:r>
    </w:p>
    <w:p w14:paraId="0CED8D93">
      <w:pPr>
        <w:widowControl w:val="0"/>
        <w:kinsoku/>
        <w:spacing w:line="360" w:lineRule="auto"/>
        <w:ind w:firstLine="643" w:firstLineChars="200"/>
        <w:jc w:val="both"/>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项目名称：湖北第二师范学院与美国佛罗里达理工学院合作举办电子信息科学与技术专业本科教育项目</w:t>
      </w:r>
      <w:bookmarkStart w:id="0" w:name="_GoBack"/>
      <w:bookmarkEnd w:id="0"/>
    </w:p>
    <w:p w14:paraId="0275E9EB">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本项目为国家教育主管部门批准的中外合作办学本科教育项目（批准书编号：</w:t>
      </w:r>
      <w:r>
        <w:rPr>
          <w:rFonts w:ascii="仿宋_GB2312" w:eastAsia="仿宋_GB2312"/>
          <w:sz w:val="32"/>
          <w:szCs w:val="32"/>
          <w:lang w:eastAsia="zh-CN"/>
        </w:rPr>
        <w:t>MOE42US2A20131570N</w:t>
      </w:r>
      <w:r>
        <w:rPr>
          <w:rFonts w:hint="eastAsia" w:ascii="仿宋_GB2312" w:eastAsia="仿宋_GB2312"/>
          <w:sz w:val="32"/>
          <w:szCs w:val="32"/>
          <w:lang w:eastAsia="zh-CN"/>
        </w:rPr>
        <w:t>），由湖北第二师范学院与美国佛罗里达理工学院（均为独立法人）联合实施。项目为全日制普通本科，学制四年，统招纳入湖北省理工类本科录取批次，招生年限为201</w:t>
      </w:r>
      <w:r>
        <w:rPr>
          <w:rFonts w:ascii="仿宋_GB2312" w:eastAsia="仿宋_GB2312"/>
          <w:sz w:val="32"/>
          <w:szCs w:val="32"/>
          <w:lang w:eastAsia="zh-CN"/>
        </w:rPr>
        <w:t>4</w:t>
      </w:r>
      <w:r>
        <w:rPr>
          <w:rFonts w:hint="eastAsia" w:ascii="仿宋_GB2312" w:eastAsia="仿宋_GB2312"/>
          <w:sz w:val="32"/>
          <w:szCs w:val="32"/>
          <w:lang w:eastAsia="zh-CN"/>
        </w:rPr>
        <w:t>年至202</w:t>
      </w:r>
      <w:r>
        <w:rPr>
          <w:rFonts w:ascii="仿宋_GB2312" w:eastAsia="仿宋_GB2312"/>
          <w:sz w:val="32"/>
          <w:szCs w:val="32"/>
          <w:lang w:eastAsia="zh-CN"/>
        </w:rPr>
        <w:t>3</w:t>
      </w:r>
      <w:r>
        <w:rPr>
          <w:rFonts w:hint="eastAsia" w:ascii="仿宋_GB2312" w:eastAsia="仿宋_GB2312"/>
          <w:sz w:val="32"/>
          <w:szCs w:val="32"/>
          <w:lang w:eastAsia="zh-CN"/>
        </w:rPr>
        <w:t>年，年计划招生规模为120人。考生需通过全国高考达到同批次分数线，经德智体美劳综合考核择优录取。采用</w:t>
      </w:r>
      <w:r>
        <w:rPr>
          <w:rFonts w:hint="cs" w:ascii="仿宋_GB2312" w:eastAsia="仿宋_GB2312"/>
          <w:sz w:val="32"/>
          <w:szCs w:val="32"/>
          <w:cs/>
          <w:lang w:eastAsia="zh-CN"/>
        </w:rPr>
        <w:t>“</w:t>
      </w:r>
      <w:r>
        <w:rPr>
          <w:rFonts w:hint="eastAsia" w:ascii="仿宋_GB2312" w:eastAsia="仿宋_GB2312"/>
          <w:sz w:val="32"/>
          <w:szCs w:val="32"/>
          <w:lang w:eastAsia="zh-CN"/>
        </w:rPr>
        <w:t>4+0”培养模式，成绩合格，毕业可获中方本科毕业证书、学士学位证书。赴美方学习且成绩合格可获得美国佛罗里达理工学院学士学位证书。</w:t>
      </w:r>
    </w:p>
    <w:p w14:paraId="038058B5">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因外方国际化教育战略调整，合作方美国佛罗里达理工学院自2020年春季学期开始，单方面逐步停止对该中外合作办学项目的投入。2024年1月，经向上级主管部门申请并同意自2024年开始，与美国佛罗里达理工学院合作举办的电子信息科学与技术专业本科教育项目停止招生。</w:t>
      </w:r>
    </w:p>
    <w:p w14:paraId="535B7535">
      <w:pPr>
        <w:widowControl w:val="0"/>
        <w:numPr>
          <w:ilvl w:val="0"/>
          <w:numId w:val="1"/>
        </w:numPr>
        <w:kinsoku/>
        <w:autoSpaceDE/>
        <w:autoSpaceDN/>
        <w:spacing w:line="360" w:lineRule="auto"/>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办学定位与目标</w:t>
      </w:r>
    </w:p>
    <w:p w14:paraId="74CA58CC">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办学定位：立足湖北、面向全国，聚焦基础教育信息化与数字经济产业发展需求，依托湖北第二师范学院电子信息科学与技术省级一流本科专业的学科基础，结合佛罗里达理工学院在电子信息技术领域的优质教育资源与办学经验，以国际化应用型人才培养为核心，深化产教协同与跨文化育人，打造电子信息领域中外合作办学特色品牌，为服务区域经济社会发展输送兼具国际视野与实践能力的高素质应用型人才。</w:t>
      </w:r>
    </w:p>
    <w:p w14:paraId="08472614">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培养目标：本专业秉承“德智体美劳全面发展”的育人理念，致力于培养综合素质优良的国际性人才。学生需系统掌握电子信息科学与技术核心理论、前沿技术及国际行业标准，具备综合应用专业知识解决复杂工程问题的能力，拥有扎实的工程实践经验、项目管理能力与创新意识。毕业生可在国内外企事业单位、政府机关、教育行业等领域，从事计算机软硬件系统相关工作，或继续攻读硕士学位，后面成为社会主义事业合格建设者和可靠接班人。</w:t>
      </w:r>
    </w:p>
    <w:p w14:paraId="4FD94461">
      <w:pPr>
        <w:widowControl w:val="0"/>
        <w:numPr>
          <w:ilvl w:val="0"/>
          <w:numId w:val="1"/>
        </w:numPr>
        <w:kinsoku/>
        <w:autoSpaceDE/>
        <w:autoSpaceDN/>
        <w:spacing w:line="360" w:lineRule="auto"/>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中外方参与制定更新培养方案与教学计划情况</w:t>
      </w:r>
    </w:p>
    <w:p w14:paraId="29F08AD9">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自本项目举办以来，中外双方就制定人才培养方案、引进外方教育资源、深化项目合作等事宜进行了充分协商。双方共同制定了人才培养方案和教学大纲，共同研究确立了课程设置、中外方承担的课程等。根据合作办学专业的实际情况确定了符合实际的教学计划，第一学年重点提高学生的英语水平，将外方承担的课程安排在第二至第四学年开设，以保证学习效果。引进的课程包括“共同开发”和“引进外方”两种形式，前者指的是课程大纲、教辅资料、试卷等均由双方共同商定、教师由双方认可；后者指的是课程大纲、教辅资料、试卷等均由外方提供，教师由外方派遣或认可。中外双方按照学校工作思路和工作部署，积极贯彻“质量、特色、国际化”的人才培养原则。在教学管理上，建立了双语教学工作制度。外方选派优秀教师来校授课。编写规范、科学、合理的课程教学大纲，制定了科学的教材引进和选用制度，引进了国外先进性的教材，确保了教材选用的整体水平和使用效果。</w:t>
      </w:r>
    </w:p>
    <w:p w14:paraId="414911E8">
      <w:pPr>
        <w:widowControl w:val="0"/>
        <w:numPr>
          <w:ilvl w:val="0"/>
          <w:numId w:val="1"/>
        </w:numPr>
        <w:kinsoku/>
        <w:autoSpaceDE/>
        <w:autoSpaceDN/>
        <w:spacing w:line="360" w:lineRule="auto"/>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本年度招生与毕业生情况</w:t>
      </w:r>
    </w:p>
    <w:p w14:paraId="48E0795D">
      <w:pPr>
        <w:widowControl w:val="0"/>
        <w:kinsoku/>
        <w:spacing w:line="360" w:lineRule="auto"/>
        <w:ind w:firstLine="640" w:firstLineChars="200"/>
        <w:jc w:val="both"/>
        <w:rPr>
          <w:rFonts w:hint="eastAsia" w:ascii="仿宋_GB2312" w:hAnsi="仿宋_GB2312" w:eastAsia="仿宋_GB2312" w:cs="仿宋_GB2312"/>
          <w:sz w:val="32"/>
          <w:szCs w:val="32"/>
          <w:highlight w:val="yellow"/>
          <w:lang w:eastAsia="zh-CN"/>
        </w:rPr>
      </w:pPr>
      <w:r>
        <w:rPr>
          <w:rFonts w:hint="eastAsia" w:ascii="仿宋_GB2312" w:eastAsia="仿宋_GB2312"/>
          <w:sz w:val="32"/>
          <w:szCs w:val="32"/>
          <w:lang w:eastAsia="zh-CN"/>
        </w:rPr>
        <w:t>2024年及以后，该项目不再招生。本年度</w:t>
      </w:r>
      <w:r>
        <w:rPr>
          <w:rFonts w:hint="eastAsia" w:ascii="仿宋_GB2312" w:hAnsi="仿宋_GB2312" w:eastAsia="仿宋_GB2312" w:cs="仿宋_GB2312"/>
          <w:color w:val="121212"/>
          <w:sz w:val="32"/>
          <w:szCs w:val="32"/>
          <w:lang w:eastAsia="zh-CN"/>
        </w:rPr>
        <w:t>完成2020级学生的四年培养周期，2024届毕业年级共有学生105人，实际获得毕业证103人，中方学位授予102人，外方学位授予 2 人。升学就业方面，共计98人实现稳定发展，其中境内升学20人、境外升学2人，合同协议就业76人。</w:t>
      </w:r>
    </w:p>
    <w:p w14:paraId="35DD8306">
      <w:pPr>
        <w:widowControl w:val="0"/>
        <w:numPr>
          <w:ilvl w:val="0"/>
          <w:numId w:val="1"/>
        </w:numPr>
        <w:kinsoku/>
        <w:autoSpaceDE/>
        <w:autoSpaceDN/>
        <w:spacing w:line="360" w:lineRule="auto"/>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学生规模和师资队伍情况</w:t>
      </w:r>
    </w:p>
    <w:p w14:paraId="3B9027FE">
      <w:pPr>
        <w:widowControl w:val="0"/>
        <w:kinsoku/>
        <w:autoSpaceDE/>
        <w:autoSpaceDN/>
        <w:spacing w:line="360" w:lineRule="auto"/>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2024年度在校</w:t>
      </w:r>
      <w:r>
        <w:rPr>
          <w:rFonts w:hint="eastAsia" w:ascii="仿宋_GB2312" w:eastAsia="仿宋_GB2312"/>
          <w:color w:val="auto"/>
          <w:sz w:val="32"/>
          <w:szCs w:val="32"/>
          <w:lang w:eastAsia="zh-CN"/>
        </w:rPr>
        <w:t>学生规模：</w:t>
      </w:r>
      <w:r>
        <w:rPr>
          <w:rFonts w:hint="eastAsia" w:ascii="仿宋_GB2312" w:eastAsia="仿宋_GB2312"/>
          <w:color w:val="auto"/>
          <w:sz w:val="32"/>
          <w:szCs w:val="32"/>
          <w:lang w:val="en-US" w:eastAsia="zh-CN"/>
        </w:rPr>
        <w:t>305</w:t>
      </w:r>
      <w:r>
        <w:rPr>
          <w:rFonts w:hint="eastAsia" w:ascii="仿宋_GB2312" w:eastAsia="仿宋_GB2312"/>
          <w:color w:val="auto"/>
          <w:sz w:val="32"/>
          <w:szCs w:val="32"/>
          <w:lang w:eastAsia="zh-CN"/>
        </w:rPr>
        <w:t>人。</w:t>
      </w:r>
    </w:p>
    <w:p w14:paraId="294889C0">
      <w:pPr>
        <w:widowControl w:val="0"/>
        <w:kinsoku/>
        <w:autoSpaceDE/>
        <w:autoSpaceDN/>
        <w:spacing w:line="360" w:lineRule="auto"/>
        <w:ind w:firstLine="640"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仿宋_GB2312" w:eastAsia="仿宋_GB2312"/>
          <w:sz w:val="32"/>
          <w:szCs w:val="32"/>
          <w:lang w:eastAsia="zh-CN"/>
        </w:rPr>
        <w:t>中外双方共选派37名优秀教师参与教学，其中中方教师33人，外方教师4人。本项目总共招生795人，已毕业479人，另有11人转专业。截止到2024年12月31日，共有2021、2022级和2023级3个年级7个班级的在校生305人，生师比约为8:1。</w:t>
      </w:r>
    </w:p>
    <w:p w14:paraId="26CC42B4">
      <w:pPr>
        <w:widowControl w:val="0"/>
        <w:kinsoku/>
        <w:spacing w:line="360" w:lineRule="auto"/>
        <w:ind w:firstLine="640" w:firstLineChars="200"/>
        <w:jc w:val="both"/>
        <w:rPr>
          <w:rFonts w:hint="eastAsia" w:ascii="黑体" w:hAnsi="黑体" w:eastAsia="黑体"/>
          <w:sz w:val="32"/>
          <w:szCs w:val="32"/>
          <w:lang w:eastAsia="zh-CN"/>
        </w:rPr>
      </w:pPr>
      <w:r>
        <w:rPr>
          <w:rFonts w:hint="eastAsia" w:ascii="黑体" w:hAnsi="黑体" w:eastAsia="黑体"/>
          <w:sz w:val="32"/>
          <w:szCs w:val="32"/>
          <w:lang w:eastAsia="zh-CN"/>
        </w:rPr>
        <w:t>二、党建思政工作情况</w:t>
      </w:r>
    </w:p>
    <w:p w14:paraId="737B2872">
      <w:pPr>
        <w:widowControl w:val="0"/>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（一）党建工作</w:t>
      </w:r>
    </w:p>
    <w:p w14:paraId="4826D860">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2024年，中外合作办学项目的党建工作聚焦全球化背景，把牢正确的政治方向，团结凝聚师生力量，利用外方优质教育资源，促进教育水平提升，取得了一系列显著成效：党建工作与项目发展深度融合;加强党组织建设，夯实党建基础；推动文化交流，增进中外友谊；加强党风廉政建设，营造良好氛围；鼓励党员发挥模范作用，增强党员先进性。</w:t>
      </w:r>
    </w:p>
    <w:p w14:paraId="43F2ABA7">
      <w:pPr>
        <w:widowControl w:val="0"/>
        <w:numPr>
          <w:ilvl w:val="0"/>
          <w:numId w:val="2"/>
        </w:numPr>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意识形态工作</w:t>
      </w:r>
    </w:p>
    <w:p w14:paraId="695F5472">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学院党委领导下，坚持以习近平新时代中国特色社会主义思想为指导，深化理论学习，提高政治站位，不仅增强了教师党支部的凝聚力和战斗力，更为教学质量和科研水平的提升注入了新动力。教师党支部始终把理论学习作为提升政治素养和业务能力的重要途径。</w:t>
      </w:r>
    </w:p>
    <w:p w14:paraId="7BFF772D">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教学质量提升方面，教师党支部充分发挥党员的先锋模范作用。党员教师积极投身教学改革和创新实践，探索新的教学方法和手段，提高课堂教学效果。同时，注重培养学生的创新精神和实践能力，为学生的全面发展提供有力支持。</w:t>
      </w:r>
    </w:p>
    <w:p w14:paraId="2DAEE117">
      <w:pPr>
        <w:widowControl w:val="0"/>
        <w:kinsoku/>
        <w:spacing w:line="360" w:lineRule="auto"/>
        <w:ind w:firstLine="640" w:firstLineChars="200"/>
        <w:jc w:val="both"/>
        <w:rPr>
          <w:rFonts w:ascii="楷体_GB2312" w:eastAsia="楷体_GB2312"/>
          <w:b/>
          <w:bCs/>
          <w:sz w:val="32"/>
          <w:szCs w:val="32"/>
          <w:lang w:eastAsia="zh-CN"/>
        </w:rPr>
      </w:pPr>
      <w:r>
        <w:rPr>
          <w:rFonts w:hint="eastAsia" w:ascii="仿宋_GB2312" w:eastAsia="仿宋_GB2312"/>
          <w:sz w:val="32"/>
          <w:szCs w:val="32"/>
          <w:lang w:eastAsia="zh-CN"/>
        </w:rPr>
        <w:t>在科研水平提升方面，教师党支部积极推动科研与教学的深度融合。党支部为科研工作的顺利开展提供了保障。</w:t>
      </w:r>
    </w:p>
    <w:p w14:paraId="716C82C8">
      <w:pPr>
        <w:widowControl w:val="0"/>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（三）学生思政工作</w:t>
      </w:r>
    </w:p>
    <w:p w14:paraId="64B3B3B0">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2024年，物理与机电工程学院在电子信息科学与技术中外合作办学项目的思政工作中，深入学习贯彻习近平总书记关于教育的重要论述和全国教育大会精神，全面落实党的教育方针，紧紧围绕立德树人根本任务，结合学院办学特色和专业特点，积极探索思政教育新模式，努力提升思政教育的针对性和实效性。</w:t>
      </w:r>
    </w:p>
    <w:p w14:paraId="4D7F8F2F">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教学计划开足开齐思政课，思政课中开设了习思想课程，符合中外合作办学项目对思政课的要求。</w:t>
      </w:r>
    </w:p>
    <w:p w14:paraId="0BB3BD43">
      <w:pPr>
        <w:widowControl w:val="0"/>
        <w:numPr>
          <w:ilvl w:val="0"/>
          <w:numId w:val="3"/>
        </w:numPr>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师德师风工作</w:t>
      </w:r>
    </w:p>
    <w:p w14:paraId="2C54542B">
      <w:pPr>
        <w:widowControl w:val="0"/>
        <w:kinsoku/>
        <w:spacing w:line="360" w:lineRule="auto"/>
        <w:ind w:firstLine="640" w:firstLineChars="200"/>
        <w:jc w:val="both"/>
        <w:rPr>
          <w:rFonts w:ascii="楷体_GB2312" w:eastAsia="楷体_GB2312"/>
          <w:b/>
          <w:bCs/>
          <w:sz w:val="32"/>
          <w:szCs w:val="32"/>
          <w:lang w:eastAsia="zh-CN"/>
        </w:rPr>
      </w:pPr>
      <w:r>
        <w:rPr>
          <w:rFonts w:hint="eastAsia" w:ascii="仿宋_GB2312" w:eastAsia="仿宋_GB2312"/>
          <w:sz w:val="32"/>
          <w:szCs w:val="32"/>
          <w:lang w:eastAsia="zh-CN"/>
        </w:rPr>
        <w:t>注重加强师德师风的建设，通过制定相关规章制度、加强监督检查等措施，确保党员教师和党员干部廉洁从教、为人师表。同时，还积极开展师德师风教育活动，引导党员干部树立正确的价值观和职业观，营造风清气正的教书育人环境。这些举措不仅增强了党组织的凝聚力和战斗力，也为项目的健康发展提供了有力保障。</w:t>
      </w:r>
    </w:p>
    <w:p w14:paraId="0B4C9273">
      <w:pPr>
        <w:widowControl w:val="0"/>
        <w:numPr>
          <w:ilvl w:val="0"/>
          <w:numId w:val="3"/>
        </w:numPr>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项目党建发展基本数据</w:t>
      </w:r>
    </w:p>
    <w:p w14:paraId="21DE2F04">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本项目</w:t>
      </w:r>
      <w:r>
        <w:rPr>
          <w:rFonts w:hint="eastAsia" w:ascii="仿宋_GB2312" w:eastAsia="仿宋_GB2312"/>
          <w:sz w:val="32"/>
          <w:szCs w:val="32"/>
          <w:lang w:eastAsia="zh-CN"/>
        </w:rPr>
        <w:t>现有教师党支部1个，教师党员24人，学生党支部1个，学生党员56人。发展党员以“坚持标准，保证质量，慎重发展”为方针，坚持个别吸收原则，通过举办入党积极分子培训班、发展对象培训班、预备党员培训班，2024年确定入党积极分子31人，接收预备党员16人，预备党员转正18人。加强党组织建设和党员的培养，增强了党组织的凝聚力和战斗力。教师党员和学生在各自的岗位上发挥了模范带头作用，为项目的顺利发展提供了有力保障。</w:t>
      </w:r>
    </w:p>
    <w:p w14:paraId="3F2C845E">
      <w:pPr>
        <w:widowControl w:val="0"/>
        <w:numPr>
          <w:ilvl w:val="0"/>
          <w:numId w:val="3"/>
        </w:numPr>
        <w:kinsoku/>
        <w:spacing w:line="360" w:lineRule="auto"/>
        <w:ind w:firstLine="643" w:firstLineChars="200"/>
        <w:jc w:val="both"/>
        <w:rPr>
          <w:rFonts w:ascii="楷体_GB2312" w:eastAsia="楷体_GB2312"/>
          <w:b/>
          <w:bCs/>
          <w:sz w:val="32"/>
          <w:szCs w:val="32"/>
          <w:lang w:eastAsia="zh-CN"/>
        </w:rPr>
      </w:pPr>
      <w:r>
        <w:rPr>
          <w:rFonts w:hint="eastAsia" w:ascii="楷体_GB2312" w:eastAsia="楷体_GB2312"/>
          <w:b/>
          <w:bCs/>
          <w:sz w:val="32"/>
          <w:szCs w:val="32"/>
          <w:lang w:eastAsia="zh-CN"/>
        </w:rPr>
        <w:t>薄弱环节及下步措施</w:t>
      </w:r>
    </w:p>
    <w:p w14:paraId="4EE7896C">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当前存在的薄弱环节为，在</w:t>
      </w:r>
      <w:r>
        <w:rPr>
          <w:rFonts w:ascii="仿宋_GB2312" w:eastAsia="仿宋_GB2312"/>
          <w:sz w:val="32"/>
          <w:szCs w:val="32"/>
          <w:lang w:eastAsia="zh-CN"/>
        </w:rPr>
        <w:t>实践育人层面</w:t>
      </w:r>
      <w:r>
        <w:rPr>
          <w:rFonts w:hint="eastAsia" w:ascii="仿宋_GB2312" w:eastAsia="仿宋_GB2312"/>
          <w:sz w:val="32"/>
          <w:szCs w:val="32"/>
          <w:lang w:eastAsia="zh-CN"/>
        </w:rPr>
        <w:t>，</w:t>
      </w:r>
      <w:r>
        <w:rPr>
          <w:rFonts w:ascii="仿宋_GB2312" w:eastAsia="仿宋_GB2312"/>
          <w:sz w:val="32"/>
          <w:szCs w:val="32"/>
          <w:lang w:eastAsia="zh-CN"/>
        </w:rPr>
        <w:t>思政实践活动形式单一，与跨文化场景、国家战略需求结合不紧密，第二课堂与思政教育协同效应不足。</w:t>
      </w:r>
    </w:p>
    <w:p w14:paraId="3ADAAE13">
      <w:pPr>
        <w:widowControl w:val="0"/>
        <w:kinsoku/>
        <w:spacing w:line="36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下</w:t>
      </w:r>
      <w:r>
        <w:rPr>
          <w:rFonts w:hint="eastAsia" w:ascii="仿宋_GB2312" w:eastAsia="仿宋_GB2312"/>
          <w:sz w:val="32"/>
          <w:szCs w:val="32"/>
          <w:lang w:val="en-US" w:eastAsia="zh-CN"/>
        </w:rPr>
        <w:t>一</w:t>
      </w:r>
      <w:r>
        <w:rPr>
          <w:rFonts w:ascii="仿宋_GB2312" w:eastAsia="仿宋_GB2312"/>
          <w:sz w:val="32"/>
          <w:szCs w:val="32"/>
          <w:lang w:eastAsia="zh-CN"/>
        </w:rPr>
        <w:t>步改进措施</w:t>
      </w:r>
      <w:r>
        <w:rPr>
          <w:rFonts w:hint="eastAsia" w:ascii="仿宋_GB2312" w:eastAsia="仿宋_GB2312"/>
          <w:sz w:val="32"/>
          <w:szCs w:val="32"/>
          <w:lang w:eastAsia="zh-CN"/>
        </w:rPr>
        <w:t>：</w:t>
      </w:r>
    </w:p>
    <w:p w14:paraId="5DC3E79A">
      <w:pPr>
        <w:widowControl w:val="0"/>
        <w:kinsoku/>
        <w:spacing w:line="36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强化价值引领，筑牢思想根基：构建“红色基因+跨文化认同”教育模式，组建学生红色宣讲团，开展红色实践基地研学等活动坚定文化自信。</w:t>
      </w:r>
    </w:p>
    <w:p w14:paraId="64256371">
      <w:pPr>
        <w:widowControl w:val="0"/>
        <w:kinsoku/>
        <w:spacing w:line="36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创新实践载体，增强育人实效：搭建“家国情怀+国际视野”实践平台，共建社会实践基地，组织学生参与国家战略相关志愿服务；通过学科竞赛等活动实现思政教育与成长需求精准对接。</w:t>
      </w:r>
    </w:p>
    <w:p w14:paraId="6794217F">
      <w:pPr>
        <w:widowControl w:val="0"/>
        <w:kinsoku/>
        <w:spacing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三、教育教学工作情况</w:t>
      </w:r>
    </w:p>
    <w:p w14:paraId="08366176">
      <w:pPr>
        <w:widowControl w:val="0"/>
        <w:numPr>
          <w:ilvl w:val="0"/>
          <w:numId w:val="4"/>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课程设置</w:t>
      </w:r>
    </w:p>
    <w:p w14:paraId="7BEC63FC">
      <w:pPr>
        <w:widowControl w:val="0"/>
        <w:kinsoku/>
        <w:spacing w:line="360" w:lineRule="auto"/>
        <w:ind w:firstLine="640" w:firstLineChars="200"/>
        <w:jc w:val="both"/>
        <w:rPr>
          <w:rFonts w:hint="eastAsia" w:ascii="仿宋_GB2312" w:hAnsi="仿宋_GB2312" w:eastAsia="仿宋_GB2312" w:cs="仿宋_GB2312"/>
          <w:color w:val="FF0000"/>
          <w:sz w:val="32"/>
          <w:szCs w:val="32"/>
          <w:lang w:eastAsia="zh-CN"/>
        </w:rPr>
      </w:pPr>
      <w:r>
        <w:rPr>
          <w:rFonts w:hint="eastAsia" w:ascii="仿宋_GB2312" w:eastAsia="仿宋_GB2312"/>
          <w:color w:val="auto"/>
          <w:sz w:val="32"/>
          <w:szCs w:val="32"/>
          <w:lang w:eastAsia="zh-CN"/>
        </w:rPr>
        <w:t>本项目人才培养方案，采取4年标准学制。学生必须修满Ⅰ类学分150学分和Ⅱ类学分（课外实践学分）10学分，共计160学分方可毕业。培养方案中规定的必修课、选修课全部按计划开出。</w:t>
      </w:r>
      <w:r>
        <w:rPr>
          <w:rFonts w:hint="eastAsia" w:ascii="仿宋_GB2312" w:eastAsia="仿宋_GB2312"/>
          <w:color w:val="auto"/>
          <w:sz w:val="32"/>
          <w:szCs w:val="32"/>
          <w:highlight w:val="none"/>
          <w:lang w:eastAsia="zh-CN"/>
        </w:rPr>
        <w:t>共开设专业课程26门，其中引进外方课程12门，占比46.2%。其中，专业基础课8门，引进外方课程4门，占比50%；专业核心课13门，引进外方课程6门，占比46.1%；专业选修课5门，引进外方课程2门，占比40%。</w:t>
      </w:r>
      <w:r>
        <w:rPr>
          <w:rFonts w:hint="eastAsia" w:ascii="仿宋_GB2312" w:eastAsia="仿宋_GB2312"/>
          <w:color w:val="auto"/>
          <w:sz w:val="32"/>
          <w:szCs w:val="32"/>
          <w:lang w:eastAsia="zh-CN"/>
        </w:rPr>
        <w:t>学校不断增加中外合作办学专项经费投入，加强项目内教师培训力度，提升本项目的办学质量，推动了本项目的国际化建设水平。</w:t>
      </w:r>
    </w:p>
    <w:p w14:paraId="76ACD09B">
      <w:pPr>
        <w:widowControl w:val="0"/>
        <w:numPr>
          <w:ilvl w:val="0"/>
          <w:numId w:val="4"/>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师资配备</w:t>
      </w:r>
    </w:p>
    <w:p w14:paraId="6F73DCF1">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为了对教育教学过程进行有效监控，本项目还建立了由院长、中外合作办学项目负责人、专业负责人、教学秘书教学管理队伍。</w:t>
      </w:r>
    </w:p>
    <w:p w14:paraId="06A00EC4">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目前，承担</w:t>
      </w: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项目教学任务的中方教师均是依法依规评聘的全职教师，大多数教师具有中高级职称。担任专业课程的教师中，高级职称教师15人，占比50%，中级职称教师13人，占比43.3%；博士10人，占比33.3%，硕士16人，占比53.3%。多名教师具有海外留学或进修的教育背景。总体来说，</w:t>
      </w:r>
      <w:r>
        <w:rPr>
          <w:rFonts w:hint="eastAsia" w:ascii="仿宋_GB2312" w:eastAsia="仿宋_GB2312"/>
          <w:color w:val="auto"/>
          <w:sz w:val="32"/>
          <w:szCs w:val="32"/>
          <w:lang w:val="en-US" w:eastAsia="zh-CN"/>
        </w:rPr>
        <w:t>本项目</w:t>
      </w:r>
      <w:r>
        <w:rPr>
          <w:rFonts w:hint="eastAsia" w:ascii="仿宋_GB2312" w:eastAsia="仿宋_GB2312"/>
          <w:color w:val="auto"/>
          <w:sz w:val="32"/>
          <w:szCs w:val="32"/>
          <w:lang w:eastAsia="zh-CN"/>
        </w:rPr>
        <w:t>师资队伍的整体学历结构、职称结构、教学水平，以及外籍教师比例等均符合中外合作办学要求。在外教的选聘上，根据中外双方合作办学协议规定，外方定期派遣专业课程教师到我校授课，每名教师讲授1-2门专业课程。</w:t>
      </w:r>
    </w:p>
    <w:p w14:paraId="0CA18258">
      <w:pPr>
        <w:widowControl w:val="0"/>
        <w:numPr>
          <w:ilvl w:val="0"/>
          <w:numId w:val="4"/>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教学质量</w:t>
      </w:r>
    </w:p>
    <w:p w14:paraId="3A444129">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学院建立教学过程质量监控机制，各主要教学环节有明确的质量要求，定期开展课程体系设置和课程质量评价。建立毕业要求达成情况评价机制，定期开展毕业要求达成情况评价。</w:t>
      </w:r>
    </w:p>
    <w:p w14:paraId="1D6BEAA7">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校、院两级制定了38项管理制度文件，建立了教学过程质量监控机制，以及毕业要求达成情况评价机制，为人才培养方案制定、教学大纲制定、课堂教学、实验教学、课程考核、专业实习、毕业论文等教学环节提供了明确的质量要求和监控措施。原则上每4年开展一次课程体系合理性评价；每年6月份在应届毕业生中开展毕业要求达成情况评价工作；每学期末开展课程质量评价。</w:t>
      </w:r>
    </w:p>
    <w:p w14:paraId="793CF1E5">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项目所在院校制定了一系列教学管理文件，从培养方案的制定、教学大纲的制定、课堂教学、课程考核等方面规范教学过程的质量监控和管理。已经形成了比较健全的校、院两级教学过程质量评价与监控机制，有效地保证了教学质量的监控和评价。</w:t>
      </w:r>
    </w:p>
    <w:p w14:paraId="72D3FB70">
      <w:pPr>
        <w:widowControl w:val="0"/>
        <w:kinsoku/>
        <w:spacing w:line="360" w:lineRule="auto"/>
        <w:ind w:firstLine="640" w:firstLineChars="200"/>
        <w:jc w:val="both"/>
        <w:rPr>
          <w:rFonts w:ascii="仿宋_GB2312" w:eastAsia="仿宋_GB2312"/>
          <w:color w:val="auto"/>
          <w:sz w:val="32"/>
          <w:szCs w:val="32"/>
          <w:lang w:eastAsia="zh-CN"/>
        </w:rPr>
      </w:pPr>
      <w:r>
        <w:rPr>
          <w:rFonts w:hint="eastAsia" w:ascii="仿宋_GB2312" w:eastAsia="仿宋_GB2312"/>
          <w:color w:val="auto"/>
          <w:sz w:val="32"/>
          <w:szCs w:val="32"/>
          <w:lang w:eastAsia="zh-CN"/>
        </w:rPr>
        <w:t>中外双方联合监督，成立“中外教学质量联合委员会”每学期召开不少于一次视频会议审核教学计划，以确保课程内容符合行业和学科发展，同时符合中外双方的教育质量标准；外方院校派专员老师驻校督导外方课程实施，中方教务处负责全程跟踪。</w:t>
      </w:r>
    </w:p>
    <w:p w14:paraId="50164AB9">
      <w:pPr>
        <w:widowControl w:val="0"/>
        <w:kinsoku/>
        <w:spacing w:line="360" w:lineRule="auto"/>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四、人才培养成效</w:t>
      </w:r>
    </w:p>
    <w:p w14:paraId="16DD419C">
      <w:pPr>
        <w:widowControl w:val="0"/>
        <w:numPr>
          <w:ilvl w:val="0"/>
          <w:numId w:val="5"/>
        </w:numPr>
        <w:kinsoku/>
        <w:spacing w:line="360" w:lineRule="auto"/>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培养目标达成情况</w:t>
      </w:r>
    </w:p>
    <w:p w14:paraId="2563B461">
      <w:pPr>
        <w:widowControl w:val="0"/>
        <w:kinsoku/>
        <w:spacing w:line="360" w:lineRule="auto"/>
        <w:ind w:firstLine="640" w:firstLineChars="200"/>
        <w:jc w:val="both"/>
        <w:rPr>
          <w:rFonts w:hint="eastAsia" w:ascii="楷体_GB2312" w:hAnsi="楷体_GB2312" w:eastAsia="楷体_GB2312" w:cs="楷体_GB2312"/>
          <w:b/>
          <w:bCs/>
          <w:sz w:val="32"/>
          <w:szCs w:val="32"/>
          <w:lang w:eastAsia="zh-CN"/>
        </w:rPr>
      </w:pPr>
      <w:r>
        <w:rPr>
          <w:rFonts w:hint="eastAsia" w:ascii="仿宋_GB2312" w:eastAsia="仿宋_GB2312"/>
          <w:sz w:val="32"/>
          <w:szCs w:val="32"/>
          <w:lang w:eastAsia="zh-CN"/>
        </w:rPr>
        <w:t>本项目始终以培养具备国际竞争力的高素质电子信息领域专业人才为核心，通过整合中外双方优质教育资源、创新人才培养模式，取得显著成效。本项目以掌握专业核心理论与实践技能，具备跨文化协作能力与创新思维为核心培养目标，在课程体系构建上，融合中外双方课程优势，为培养具有国际化视野的专业人才创造良好的学习氛围。针对外方课程语言障碍问题，项目引进第三方英语培训机构开设小班制英语强化培训，同时搭建线上学习平台，提供外方课程预习资料、双语学习课件等资源，帮助学生快速适应全英文授课环境。</w:t>
      </w:r>
    </w:p>
    <w:p w14:paraId="7C3E5499">
      <w:pPr>
        <w:widowControl w:val="0"/>
        <w:numPr>
          <w:ilvl w:val="0"/>
          <w:numId w:val="5"/>
        </w:numPr>
        <w:kinsoku/>
        <w:spacing w:line="360" w:lineRule="auto"/>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学生发展支持体系建设</w:t>
      </w:r>
    </w:p>
    <w:p w14:paraId="54295F41">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在电子信息科学与技术专业中外合作办学项目人才培养过程中，围绕学业指导、能力提升、职业发展、生活保障四大维度，构建了覆盖学生全周期成长的立体化支持体系，具体成效如下：</w:t>
      </w:r>
    </w:p>
    <w:p w14:paraId="4D1858EC">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建立分层化学业指导体系，针对中外课程衔接、专业核心课（如数字电子技术、通信原理、嵌入式技术及应用等）学习难点，组建由中外专业教师、学业辅导员组成的指导团队。开设双语课程专业知识答疑坊，为基础薄弱学生提供一对一辅导；为学有余力学生搭建科研创新平台，支持参与电子设计竞赛、创新大赛等学科竞赛，对接中外联合科研项目，培养专业实践与创新能力。</w:t>
      </w:r>
    </w:p>
    <w:p w14:paraId="00F40D51">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建立跨文化能力培养体系，搭建语言与文化双向融合平台，开设托福专项训练营、专业英语沙龙，提升学生专业外文文献阅读与学术交流能力；举办中外文化交流周、海外研学短期项目，组织学生与外方院校师生开展线上线下研讨，帮助学生适应国际化学习环境，培养跨文化沟通协作能力。</w:t>
      </w:r>
    </w:p>
    <w:p w14:paraId="0CA17D42">
      <w:pPr>
        <w:widowControl w:val="0"/>
        <w:numPr>
          <w:ilvl w:val="0"/>
          <w:numId w:val="5"/>
        </w:numPr>
        <w:kinsoku/>
        <w:spacing w:line="360" w:lineRule="auto"/>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学生国际视野与跨文化交流能力培养与实习实践</w:t>
      </w:r>
    </w:p>
    <w:p w14:paraId="67BCC209">
      <w:pPr>
        <w:widowControl w:val="0"/>
        <w:kinsoku/>
        <w:spacing w:line="360" w:lineRule="auto"/>
        <w:ind w:firstLine="640" w:firstLineChars="200"/>
        <w:jc w:val="both"/>
        <w:rPr>
          <w:rFonts w:hint="eastAsia" w:ascii="楷体_GB2312" w:hAnsi="楷体_GB2312" w:eastAsia="楷体_GB2312" w:cs="楷体_GB2312"/>
          <w:b/>
          <w:bCs/>
          <w:sz w:val="32"/>
          <w:szCs w:val="32"/>
          <w:lang w:eastAsia="zh-CN"/>
        </w:rPr>
      </w:pPr>
      <w:r>
        <w:rPr>
          <w:rFonts w:hint="eastAsia" w:ascii="仿宋_GB2312" w:eastAsia="仿宋_GB2312"/>
          <w:sz w:val="32"/>
          <w:szCs w:val="32"/>
          <w:lang w:eastAsia="zh-CN"/>
        </w:rPr>
        <w:t>作为中外合作办学项目，培养学生国际视野与跨文化交流能力是核心特色之一，项目通过“引进来+走出去”双路径，为学生搭建多元化国际交流平台。除了引进外方优质教育教学资源外，学生“走出去”也很活跃。2024年共有20名学生利用寒暑假赴境外参加研学活动，在跨文化环境中不仅提升了专业认知，更锻炼了国际沟通与适应能力，拓宽了国际化视野，提升了跨文化交流信心与能力，相关能力在后续实习、就业中得到企业高度认可。</w:t>
      </w:r>
    </w:p>
    <w:p w14:paraId="7841872C">
      <w:pPr>
        <w:widowControl w:val="0"/>
        <w:numPr>
          <w:ilvl w:val="0"/>
          <w:numId w:val="5"/>
        </w:numPr>
        <w:kinsoku/>
        <w:spacing w:line="360" w:lineRule="auto"/>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升学与就业</w:t>
      </w:r>
    </w:p>
    <w:p w14:paraId="3FBD7997">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就业和考研工作上，项目管理部积极发动班主任、任课老师参与其中，采取一切必要的措施，发挥老师的经验优势和资源优势，指导并帮助学生撰写个人简历，积极推荐就业单位。对于考研的学生，指导学生复习备考，分析考研政策，帮助学生选择合适的考研学校和调剂学校，并时刻关注学生的考研进度。学生进入面试环节，老师们亲自联系导师，分享面试技巧。在升学方面，项目凭借中外融合的课程体系与国际交流优势，为学生升学提供有力支撑。2024年度共有22名学生考取国内外研究生，考研率24.21%，位居全校前列。1名学生成功入选2024年暑期湖北省优秀大学生海外游学项目，1名学生荣获国家奖学金。就业方面，2024年就业率达93.33%，优质就业率10.47%。</w:t>
      </w:r>
    </w:p>
    <w:p w14:paraId="23306D00">
      <w:pPr>
        <w:widowControl w:val="0"/>
        <w:kinsoku/>
        <w:spacing w:line="360" w:lineRule="auto"/>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五、财务管理情况</w:t>
      </w:r>
    </w:p>
    <w:p w14:paraId="1378B565">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本项目坚定不移坚持中外合作办学的非营利性原则，严格遵守国家有关规定，根据湖北省物价局批复的收费许可证中的标准，并按照学校的财务管理制度执行，收费标准均在湖北第二师范学院财务处官网及湖北第二师范学院信息公开网进行公示。按照审批、公示、收费的工作程序，按学年收取学费和住宿费。</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设立专项经费项目，财务收支核算由学校财务处</w:t>
      </w:r>
      <w:r>
        <w:rPr>
          <w:rFonts w:hint="eastAsia" w:ascii="仿宋_GB2312" w:hAnsi="仿宋_GB2312" w:eastAsia="仿宋_GB2312" w:cs="仿宋_GB2312"/>
          <w:sz w:val="32"/>
          <w:szCs w:val="32"/>
          <w:lang w:eastAsia="zh-CN"/>
        </w:rPr>
        <w:t>统一管理，</w:t>
      </w:r>
      <w:r>
        <w:rPr>
          <w:rFonts w:hint="eastAsia" w:ascii="仿宋_GB2312" w:eastAsia="仿宋_GB2312"/>
          <w:sz w:val="32"/>
          <w:szCs w:val="32"/>
          <w:lang w:eastAsia="zh-CN"/>
        </w:rPr>
        <w:t>收取的费用全部用于本项目教育教学、办学成本以及改善办学条件等的支出。2024年实际收入7,801,560.00元，实际支出7,508,783.22元，结余292,776.78元，各项收入和支出均合法合规。</w:t>
      </w:r>
    </w:p>
    <w:p w14:paraId="4DCF6F33">
      <w:pPr>
        <w:widowControl w:val="0"/>
        <w:kinsoku/>
        <w:spacing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六、组织管理情况</w:t>
      </w:r>
    </w:p>
    <w:p w14:paraId="11D47FE3">
      <w:pPr>
        <w:widowControl w:val="0"/>
        <w:numPr>
          <w:ilvl w:val="0"/>
          <w:numId w:val="6"/>
        </w:numPr>
        <w:kinsoku/>
        <w:spacing w:line="360" w:lineRule="auto"/>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双方联合管理体制机制运行情况</w:t>
      </w:r>
    </w:p>
    <w:p w14:paraId="615EB5B9">
      <w:pPr>
        <w:widowControl w:val="0"/>
        <w:kinsoku/>
        <w:spacing w:line="360" w:lineRule="auto"/>
        <w:ind w:firstLine="640" w:firstLineChars="200"/>
        <w:jc w:val="both"/>
        <w:rPr>
          <w:rFonts w:hint="eastAsia" w:ascii="楷体_GB2312" w:hAnsi="楷体_GB2312" w:eastAsia="楷体_GB2312" w:cs="楷体_GB2312"/>
          <w:b/>
          <w:bCs/>
          <w:sz w:val="32"/>
          <w:szCs w:val="32"/>
          <w:lang w:eastAsia="zh-CN"/>
        </w:rPr>
      </w:pPr>
      <w:r>
        <w:rPr>
          <w:rFonts w:hint="eastAsia" w:ascii="仿宋_GB2312" w:eastAsia="仿宋_GB2312"/>
          <w:sz w:val="32"/>
          <w:szCs w:val="32"/>
          <w:lang w:eastAsia="zh-CN"/>
        </w:rPr>
        <w:t>学校对</w:t>
      </w:r>
      <w:r>
        <w:rPr>
          <w:rFonts w:hint="eastAsia" w:ascii="仿宋_GB2312" w:eastAsia="仿宋_GB2312"/>
          <w:sz w:val="32"/>
          <w:szCs w:val="32"/>
          <w:lang w:val="en-US" w:eastAsia="zh-CN"/>
        </w:rPr>
        <w:t>本</w:t>
      </w:r>
      <w:r>
        <w:rPr>
          <w:rFonts w:hint="eastAsia" w:ascii="仿宋_GB2312" w:eastAsia="仿宋_GB2312"/>
          <w:sz w:val="32"/>
          <w:szCs w:val="32"/>
          <w:lang w:eastAsia="zh-CN"/>
        </w:rPr>
        <w:t>项目</w:t>
      </w:r>
      <w:r>
        <w:rPr>
          <w:rFonts w:hint="eastAsia" w:ascii="仿宋_GB2312" w:eastAsia="仿宋_GB2312"/>
          <w:sz w:val="32"/>
          <w:szCs w:val="32"/>
          <w:lang w:val="en-US" w:eastAsia="zh-CN"/>
        </w:rPr>
        <w:t>管理与教学工作</w:t>
      </w:r>
      <w:r>
        <w:rPr>
          <w:rFonts w:hint="eastAsia" w:ascii="仿宋_GB2312" w:eastAsia="仿宋_GB2312"/>
          <w:sz w:val="32"/>
          <w:szCs w:val="32"/>
          <w:lang w:eastAsia="zh-CN"/>
        </w:rPr>
        <w:t>高度重视，管理人员配备结构合理、经验丰富、学生工作辅导员认真负责。中方人事管理按照学校统一人事管理制度严格执行，所有工作人员根据需要由学校统一调配和使用，外方教师和管理人员由外方学校负责，外方教师来我校工作期间，遵照《湖北第二师范学院外籍教师聘请及管理工作流程》执行。同时，中外双方联合成立了项目管理委员会，经过严格选拔，担任项目</w:t>
      </w:r>
      <w:r>
        <w:rPr>
          <w:rFonts w:hint="eastAsia" w:ascii="仿宋_GB2312" w:eastAsia="仿宋_GB2312"/>
          <w:sz w:val="32"/>
          <w:szCs w:val="32"/>
          <w:lang w:val="en-US" w:eastAsia="zh-CN"/>
        </w:rPr>
        <w:t>管理与</w:t>
      </w:r>
      <w:r>
        <w:rPr>
          <w:rFonts w:hint="eastAsia" w:ascii="仿宋_GB2312" w:eastAsia="仿宋_GB2312"/>
          <w:sz w:val="32"/>
          <w:szCs w:val="32"/>
          <w:lang w:eastAsia="zh-CN"/>
        </w:rPr>
        <w:t>教学</w:t>
      </w:r>
      <w:r>
        <w:rPr>
          <w:rFonts w:hint="eastAsia" w:ascii="仿宋_GB2312" w:eastAsia="仿宋_GB2312"/>
          <w:sz w:val="32"/>
          <w:szCs w:val="32"/>
          <w:lang w:val="en-US" w:eastAsia="zh-CN"/>
        </w:rPr>
        <w:t>人员</w:t>
      </w:r>
      <w:r>
        <w:rPr>
          <w:rFonts w:hint="eastAsia" w:ascii="仿宋_GB2312" w:eastAsia="仿宋_GB2312"/>
          <w:sz w:val="32"/>
          <w:szCs w:val="32"/>
          <w:lang w:eastAsia="zh-CN"/>
        </w:rPr>
        <w:t>，责任心强，教学经验丰富，</w:t>
      </w:r>
      <w:r>
        <w:rPr>
          <w:rFonts w:hint="eastAsia" w:ascii="仿宋_GB2312" w:eastAsia="仿宋_GB2312"/>
          <w:sz w:val="32"/>
          <w:szCs w:val="32"/>
          <w:lang w:val="en-US" w:eastAsia="zh-CN"/>
        </w:rPr>
        <w:t>且</w:t>
      </w:r>
      <w:r>
        <w:rPr>
          <w:rFonts w:hint="eastAsia" w:ascii="仿宋_GB2312" w:eastAsia="仿宋_GB2312"/>
          <w:sz w:val="32"/>
          <w:szCs w:val="32"/>
          <w:lang w:eastAsia="zh-CN"/>
        </w:rPr>
        <w:t>具有海外留学背景。</w:t>
      </w:r>
    </w:p>
    <w:p w14:paraId="44493389">
      <w:pPr>
        <w:widowControl w:val="0"/>
        <w:numPr>
          <w:ilvl w:val="0"/>
          <w:numId w:val="6"/>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制度建设管理情况</w:t>
      </w:r>
    </w:p>
    <w:p w14:paraId="727F1C48">
      <w:pPr>
        <w:widowControl w:val="0"/>
        <w:kinsoku/>
        <w:spacing w:line="360" w:lineRule="auto"/>
        <w:ind w:firstLine="640" w:firstLineChars="200"/>
        <w:jc w:val="both"/>
        <w:rPr>
          <w:rFonts w:ascii="仿宋_GB2312" w:eastAsia="仿宋_GB2312"/>
          <w:b/>
          <w:bCs/>
          <w:sz w:val="32"/>
          <w:szCs w:val="32"/>
          <w:lang w:eastAsia="zh-CN"/>
        </w:rPr>
      </w:pPr>
      <w:r>
        <w:rPr>
          <w:rFonts w:hint="eastAsia" w:ascii="仿宋_GB2312" w:eastAsia="仿宋_GB2312"/>
          <w:sz w:val="32"/>
          <w:szCs w:val="32"/>
          <w:lang w:eastAsia="zh-CN"/>
        </w:rPr>
        <w:t>管理机构的建立以及各部门职能的发挥，保证了学校在合作办学中的主体地位，维护了学生的合法权益，促进了项目的健康发展。</w:t>
      </w:r>
    </w:p>
    <w:p w14:paraId="66098C45">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项目运行过程中，学校始终坚持以人为本，以学生为主体，与学生建立了有效的沟通机制，为学生提供了良好的服务。我校按照国家的有关规定，建立了完善的学生管理服务体系，为学生配备辅导员和班主任等管理队伍；通过党团教育、召开座谈会、“两访两创”一对一访谈学生，通过专业学习指导、语言培训、就业创业指导、出国咨询、心理辅导以及构建“奖贷困助补”体系等形式，帮助学生解决学习、生活中遇到的各种问题；在学生中设立党支部、团总支、学生会及各种社团，建立了多层次全方位的沟通平台和渠道。</w:t>
      </w:r>
    </w:p>
    <w:p w14:paraId="34B4E836">
      <w:pPr>
        <w:widowControl w:val="0"/>
        <w:kinsoku/>
        <w:spacing w:line="360" w:lineRule="auto"/>
        <w:ind w:firstLine="640" w:firstLineChars="200"/>
        <w:jc w:val="both"/>
        <w:rPr>
          <w:rFonts w:hint="eastAsia" w:ascii="仿宋_GB2312" w:hAnsi="仿宋_GB2312" w:eastAsia="仿宋_GB2312" w:cs="仿宋_GB2312"/>
          <w:color w:val="FF0000"/>
          <w:sz w:val="32"/>
          <w:szCs w:val="32"/>
          <w:lang w:eastAsia="zh-CN"/>
        </w:rPr>
      </w:pPr>
      <w:r>
        <w:rPr>
          <w:rFonts w:hint="eastAsia" w:ascii="仿宋_GB2312" w:eastAsia="仿宋_GB2312"/>
          <w:sz w:val="32"/>
          <w:szCs w:val="32"/>
          <w:lang w:eastAsia="zh-CN"/>
        </w:rPr>
        <w:t>学校加强与省厅的联系，向湖北省教育厅对外合作与交流处定期汇报项目的运行情况，及时反馈办学情况，积极参加该处组织的关于中外合作办学工作会议。每年春季按时向教育部提交年度自评报告，内容涉及到学生注册、课程设置、引进教材、师资配备、财务状况、教学质量、社会评价等基本办学信息。并就办学过程中出现的问题，积极与上级部门沟通，得到了省教育厅的大力支持与帮助。</w:t>
      </w:r>
    </w:p>
    <w:p w14:paraId="18C5ECCD">
      <w:pPr>
        <w:widowControl w:val="0"/>
        <w:numPr>
          <w:ilvl w:val="0"/>
          <w:numId w:val="6"/>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管理团队（服务）情况</w:t>
      </w:r>
    </w:p>
    <w:p w14:paraId="1C27942C">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该项目管理机构在实际工作中，严格遵循接受中国教育主管部门管理规章制度。自本项目被国家教育部批准以来，我校严格按照《教育部关于若干中外合作办学机构和项目政策意见的通知》精神，在湖北省教育厅对外合作与交流处的领导下严格依法管理，规范办学。</w:t>
      </w:r>
    </w:p>
    <w:p w14:paraId="585CA83F">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根据我校与外方联合签订的办学协议，合作双方共同组建联合管理委员会，委员会主任由我校校长担任。联合管理委员会作为本项目的重要管理机构，在开展中外合作办学的过程中，坚决贯彻国家的教育方针，严格履行职能，在重大决策、项目运行管理、专业建设、课程建设等方面起到了领导和监督作用。</w:t>
      </w:r>
    </w:p>
    <w:p w14:paraId="1AC601E7">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除项目的承办部门物理与机电工程学院外，学校国际交流</w:t>
      </w:r>
      <w:r>
        <w:rPr>
          <w:rFonts w:hint="eastAsia" w:ascii="仿宋_GB2312" w:eastAsia="仿宋_GB2312"/>
          <w:sz w:val="32"/>
          <w:szCs w:val="32"/>
          <w:lang w:val="en-US" w:eastAsia="zh-CN"/>
        </w:rPr>
        <w:t>与</w:t>
      </w:r>
      <w:r>
        <w:rPr>
          <w:rFonts w:hint="eastAsia" w:ascii="仿宋_GB2312" w:eastAsia="仿宋_GB2312"/>
          <w:sz w:val="32"/>
          <w:szCs w:val="32"/>
          <w:lang w:eastAsia="zh-CN"/>
        </w:rPr>
        <w:t>合作处、教务处、教学质量检测与评估中心、财务处等部门按照职责分工，参与项目管理。物理与机电工程学院全面负责学生的日常教学与人才培养，包括专业建设、制定培养方案、引进外教教育资源以及师资配备、培训等内容；国际交流</w:t>
      </w:r>
      <w:r>
        <w:rPr>
          <w:rFonts w:hint="eastAsia" w:ascii="仿宋_GB2312" w:eastAsia="仿宋_GB2312"/>
          <w:sz w:val="32"/>
          <w:szCs w:val="32"/>
          <w:lang w:val="en-US" w:eastAsia="zh-CN"/>
        </w:rPr>
        <w:t>与</w:t>
      </w:r>
      <w:r>
        <w:rPr>
          <w:rFonts w:hint="eastAsia" w:ascii="仿宋_GB2312" w:eastAsia="仿宋_GB2312"/>
          <w:sz w:val="32"/>
          <w:szCs w:val="32"/>
          <w:lang w:eastAsia="zh-CN"/>
        </w:rPr>
        <w:t>合作处具体负责中外双方的校际交流与接待，包括外事沟通、部门协调、项目宣传、质量监控等内容。</w:t>
      </w:r>
    </w:p>
    <w:p w14:paraId="01525AD9">
      <w:pPr>
        <w:widowControl w:val="0"/>
        <w:numPr>
          <w:ilvl w:val="0"/>
          <w:numId w:val="6"/>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推动就业情况</w:t>
      </w:r>
    </w:p>
    <w:p w14:paraId="232DECF4">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成立由中外双方院校分管领导牵头、项目管理办公室统筹、各教学与职能部门协同参与的联合管理委员会，明确“决策-执行-监督”三级管理职责，构建“中方主导、外方协同、权责清晰、运转协调”的组织管理体系，统筹推进项目教学运行、师资建设、学生管理、就业服务等各项工作。</w:t>
      </w:r>
    </w:p>
    <w:p w14:paraId="5CD716B3">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本项目对推动学生申请海外硕士和出国就业创造了良好的条件，对提高就业率效果明显。</w:t>
      </w:r>
    </w:p>
    <w:p w14:paraId="5568A8D3">
      <w:pPr>
        <w:widowControl w:val="0"/>
        <w:numPr>
          <w:ilvl w:val="0"/>
          <w:numId w:val="6"/>
        </w:numPr>
        <w:kinsoku/>
        <w:spacing w:line="360" w:lineRule="auto"/>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薄弱环节及下步举措</w:t>
      </w:r>
    </w:p>
    <w:p w14:paraId="7CD0DA8F">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 xml:space="preserve">组织管理层面的薄弱环节有两个方面： </w:t>
      </w:r>
    </w:p>
    <w:p w14:paraId="3E3E3001">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一是协同管理机制不健全：中外双方在就业工作中的职责划分不够清晰，存在信息共享滞后、资源对接效率低的问题。</w:t>
      </w:r>
    </w:p>
    <w:p w14:paraId="6285A2FB">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二是资源整合能力不足：对境外就业资源的筛选和本土化转化能力较弱，未能充分结合国内重点产业需求进行精准对接。</w:t>
      </w:r>
    </w:p>
    <w:p w14:paraId="149BAD1A">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 xml:space="preserve"> 下</w:t>
      </w:r>
      <w:r>
        <w:rPr>
          <w:rFonts w:hint="eastAsia" w:ascii="仿宋_GB2312" w:eastAsia="仿宋_GB2312"/>
          <w:sz w:val="32"/>
          <w:szCs w:val="32"/>
          <w:lang w:val="en-US" w:eastAsia="zh-CN"/>
        </w:rPr>
        <w:t>一</w:t>
      </w:r>
      <w:r>
        <w:rPr>
          <w:rFonts w:hint="eastAsia" w:ascii="仿宋_GB2312" w:eastAsia="仿宋_GB2312"/>
          <w:sz w:val="32"/>
          <w:szCs w:val="32"/>
          <w:lang w:eastAsia="zh-CN"/>
        </w:rPr>
        <w:t>步改进措施：</w:t>
      </w:r>
    </w:p>
    <w:p w14:paraId="7D7CC767">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 xml:space="preserve"> 一要健全协同管理机制，优化联合管理委员会的议事规则，将就业工作纳入例会固定议题，明确中外双方在资源对接、指导服务、数据统计等方面的具体职责清单。</w:t>
      </w:r>
    </w:p>
    <w:p w14:paraId="4EB59480">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二要提升资源整合效能，组建专项资源对接小组，深入调研国内重点产业和新兴领域的人才需求，定向对接本土龙头企业、高新技术企业，共建实习就业基地。</w:t>
      </w:r>
    </w:p>
    <w:p w14:paraId="5A121842">
      <w:pPr>
        <w:widowControl w:val="0"/>
        <w:numPr>
          <w:ilvl w:val="0"/>
          <w:numId w:val="7"/>
        </w:numPr>
        <w:kinsoku/>
        <w:spacing w:line="360" w:lineRule="auto"/>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依法办学及办学规范性情况</w:t>
      </w:r>
    </w:p>
    <w:p w14:paraId="240314F2">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依法办学与规范管理是中外合作办学项目的生命线。根据《中华人民共和国中外合作办学条例》，本项目坚守教育公益属性，严格遵循审批标准与监管要求。既高效引进外方优质教育资源，又牢牢把握教育主动权，为培养国际化人才筑牢规范根基。</w:t>
      </w:r>
    </w:p>
    <w:p w14:paraId="49B80539">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在人才培养的执行上，本项目的教育教学计划、培养方案、学制年限的制定和执行符合国家的有关规定。</w:t>
      </w:r>
      <w:r>
        <w:rPr>
          <w:rFonts w:hint="eastAsia" w:ascii="仿宋_GB2312" w:eastAsia="仿宋_GB2312"/>
          <w:sz w:val="32"/>
          <w:szCs w:val="32"/>
          <w:lang w:val="en-US" w:eastAsia="zh-CN"/>
        </w:rPr>
        <w:t>本</w:t>
      </w:r>
      <w:r>
        <w:rPr>
          <w:rFonts w:hint="eastAsia" w:ascii="仿宋_GB2312" w:eastAsia="仿宋_GB2312"/>
          <w:sz w:val="32"/>
          <w:szCs w:val="32"/>
          <w:lang w:eastAsia="zh-CN"/>
        </w:rPr>
        <w:t>项目培养方案符合培养目标要求，通过培养方案的设计，优化教育资源和人才培养模式,这种培养模式不断完善人才培养过程和教学管理运行机制，为提高学生实践能力、国际化视野和综合素质提供了有利保障。</w:t>
      </w:r>
    </w:p>
    <w:p w14:paraId="07CB74DD">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在外方教材的选择和使用上，学校建立严格的“三级审核”制度，由专业教师、学校教材委员会、教务处逐级核查。</w:t>
      </w:r>
    </w:p>
    <w:p w14:paraId="11A2C837">
      <w:pPr>
        <w:widowControl w:val="0"/>
        <w:kinsoku/>
        <w:spacing w:line="360"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本项目</w:t>
      </w:r>
      <w:r>
        <w:rPr>
          <w:rFonts w:hint="eastAsia" w:ascii="仿宋_GB2312" w:hAnsi="仿宋_GB2312" w:eastAsia="仿宋_GB2312" w:cs="仿宋_GB2312"/>
          <w:color w:val="auto"/>
          <w:sz w:val="32"/>
          <w:szCs w:val="32"/>
          <w:lang w:eastAsia="zh-CN"/>
        </w:rPr>
        <w:t>没有超规模招生、擅自变更外方、擅自变更培养模式、中介参与招生录取及人才培养核心环节、违规使用境外教材等</w:t>
      </w:r>
      <w:r>
        <w:rPr>
          <w:rFonts w:hint="eastAsia"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lang w:eastAsia="zh-CN"/>
        </w:rPr>
        <w:t>。</w:t>
      </w:r>
    </w:p>
    <w:p w14:paraId="01BEB299">
      <w:pPr>
        <w:widowControl w:val="0"/>
        <w:numPr>
          <w:ilvl w:val="0"/>
          <w:numId w:val="7"/>
        </w:numPr>
        <w:kinsoku/>
        <w:spacing w:line="360" w:lineRule="auto"/>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合作办学辐射成果</w:t>
      </w:r>
    </w:p>
    <w:p w14:paraId="6917BC38">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本</w:t>
      </w:r>
      <w:r>
        <w:rPr>
          <w:rFonts w:hint="eastAsia" w:ascii="仿宋_GB2312" w:eastAsia="仿宋_GB2312"/>
          <w:sz w:val="32"/>
          <w:szCs w:val="32"/>
          <w:lang w:eastAsia="zh-CN"/>
        </w:rPr>
        <w:t>项目作为教育对外开放的核心载体，不仅实现了优质教育资源的双向流动，更通过外方高校的牵引作用，在学术交流、文化传播等领域产生了深远辐射效应，为学校国际合作注入持久动力。</w:t>
      </w:r>
    </w:p>
    <w:p w14:paraId="579CA682">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先进的办学理念和教学方式，在校内已形成辐射效应，对其它院系的国际化办学产生了积极的示范作用。后续我校与新西兰南方理工学院合作举办计算机科学与技术专业本科中外合作办学项目，与美国东北州立大学合作举办学前教育专业本科中外合作办学项目。佛罗里达理工学院通过学分互认机制，为合作项目学生搭建便捷留学通道。截至2024年底已有27名学生赴美深造，校方为优秀学生提供专项奖学金，中方同步给予留学资助。截止到2024年年底，共有117名毕业生考取国内外研究生，6人荣获国家奖学金。外方共享的科研资源为中方提供了重要支撑，合作项目学生依托外方文献数据库和实验平台，在国内核心期刊及以上级别发表论文10余篇。</w:t>
      </w:r>
    </w:p>
    <w:p w14:paraId="1E33A061">
      <w:pPr>
        <w:widowControl w:val="0"/>
        <w:kinsoku/>
        <w:spacing w:line="360" w:lineRule="auto"/>
        <w:ind w:firstLine="640" w:firstLineChars="200"/>
        <w:jc w:val="both"/>
        <w:rPr>
          <w:rFonts w:hint="eastAsia" w:ascii="仿宋_GB2312" w:hAnsi="仿宋_GB2312" w:eastAsia="仿宋_GB2312" w:cs="仿宋_GB2312"/>
          <w:color w:val="FF0000"/>
          <w:sz w:val="32"/>
          <w:szCs w:val="32"/>
          <w:lang w:eastAsia="zh-CN"/>
        </w:rPr>
      </w:pPr>
      <w:r>
        <w:rPr>
          <w:rFonts w:hint="eastAsia" w:ascii="仿宋_GB2312" w:eastAsia="仿宋_GB2312"/>
          <w:sz w:val="32"/>
          <w:szCs w:val="32"/>
          <w:lang w:eastAsia="zh-CN"/>
        </w:rPr>
        <w:t>在双方共同努力下，科学合理建构课程体系、优化教学内容、创新教学方式，保障了教学水平和教学效果的不断提升。这种合作模式将使学生具备国际化的专业知识、业务水平和综合能力，以及“专业技能+外语”的国际化素质，在知识体系结构上将具有更广阔的国际视野。培养出的高素质、可持续发展的专门人才，更具优势，必将更好地服务于武汉当地的行业发展和经济发展。</w:t>
      </w:r>
    </w:p>
    <w:p w14:paraId="4D51E967">
      <w:pPr>
        <w:widowControl w:val="0"/>
        <w:kinsoku/>
        <w:spacing w:line="360" w:lineRule="auto"/>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九、形势分析及应对措施</w:t>
      </w:r>
    </w:p>
    <w:p w14:paraId="4298DF21">
      <w:pPr>
        <w:widowControl w:val="0"/>
        <w:kinsoku/>
        <w:spacing w:line="360" w:lineRule="auto"/>
        <w:ind w:firstLine="640" w:firstLineChars="200"/>
        <w:jc w:val="both"/>
        <w:rPr>
          <w:rFonts w:ascii="仿宋_GB2312" w:eastAsia="仿宋_GB2312"/>
          <w:sz w:val="32"/>
          <w:szCs w:val="32"/>
          <w:lang w:eastAsia="zh-CN"/>
        </w:rPr>
      </w:pPr>
      <w:r>
        <w:rPr>
          <w:rFonts w:hint="eastAsia" w:ascii="黑体" w:hAnsi="黑体" w:eastAsia="黑体" w:cs="黑体"/>
          <w:sz w:val="32"/>
          <w:szCs w:val="32"/>
          <w:lang w:eastAsia="zh-CN"/>
        </w:rPr>
        <w:t xml:space="preserve"> </w:t>
      </w:r>
      <w:r>
        <w:rPr>
          <w:rFonts w:hint="eastAsia" w:ascii="仿宋_GB2312" w:eastAsia="仿宋_GB2312"/>
          <w:sz w:val="32"/>
          <w:szCs w:val="32"/>
          <w:lang w:eastAsia="zh-CN"/>
        </w:rPr>
        <w:t>2023年是本项目招生的最后一年，学校本着“以生为本”的高度责任感，继续贯彻人才培养原则，持续为本项目在籍在校生提供优质教育资源，确保学生顺利完成学业并顺利就业。为此，将通过以下几个方面来提高培养质量和服务质量：</w:t>
      </w:r>
    </w:p>
    <w:p w14:paraId="0EFEAB0B">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第一、发挥指导功能，确立服务学生的角色，为学生提供优质的帮扶服务。</w:t>
      </w:r>
    </w:p>
    <w:p w14:paraId="2BCC5680">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第二、拓宽学生国际视野，培养学生国际交流能力，凸显国际化办学特色，为学生赴国外交流学习拓展渠道。</w:t>
      </w:r>
    </w:p>
    <w:p w14:paraId="7E28816F">
      <w:pPr>
        <w:widowControl w:val="0"/>
        <w:kinsoku/>
        <w:spacing w:line="36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第三、继续巩固双语教学的课程数量和比例，保质保量完成双语课程的教学。</w:t>
      </w:r>
    </w:p>
    <w:p w14:paraId="1F15024A">
      <w:pPr>
        <w:widowControl w:val="0"/>
        <w:kinsoku/>
        <w:spacing w:line="360" w:lineRule="auto"/>
        <w:ind w:firstLine="640" w:firstLineChars="200"/>
        <w:jc w:val="both"/>
        <w:rPr>
          <w:lang w:eastAsia="zh-CN"/>
        </w:rPr>
      </w:pPr>
      <w:r>
        <w:rPr>
          <w:rFonts w:hint="eastAsia" w:ascii="仿宋_GB2312" w:eastAsia="仿宋_GB2312"/>
          <w:sz w:val="32"/>
          <w:szCs w:val="32"/>
          <w:lang w:eastAsia="zh-CN"/>
        </w:rPr>
        <w:t>第四、保质保量完成其它常规性的教学和学生管理工作，继续保持教学零投诉，学生管理零重大违纪。</w:t>
      </w:r>
    </w:p>
    <w:sectPr>
      <w:footerReference r:id="rId3" w:type="default"/>
      <w:pgSz w:w="11906" w:h="16839"/>
      <w:pgMar w:top="1440" w:right="1786" w:bottom="1440" w:left="1786"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 SC">
    <w:altName w:val="宋体"/>
    <w:panose1 w:val="00000000000000000000"/>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1"/>
        <w:szCs w:val="21"/>
      </w:rPr>
      <w:id w:val="1048569160"/>
      <w:docPartObj>
        <w:docPartGallery w:val="autotext"/>
      </w:docPartObj>
    </w:sdtPr>
    <w:sdtEndPr>
      <w:rPr>
        <w:rFonts w:asciiTheme="minorEastAsia" w:hAnsiTheme="minorEastAsia" w:eastAsiaTheme="minorEastAsia"/>
        <w:sz w:val="21"/>
        <w:szCs w:val="21"/>
      </w:rPr>
    </w:sdtEndPr>
    <w:sdtContent>
      <w:p w14:paraId="6394D7F6">
        <w:pPr>
          <w:pStyle w:val="4"/>
          <w:jc w:val="center"/>
          <w:rPr>
            <w:rFonts w:hint="eastAsia"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eastAsia="zh-CN"/>
          </w:rPr>
          <w:t>2</w:t>
        </w:r>
        <w:r>
          <w:rPr>
            <w:rFonts w:asciiTheme="minorEastAsia" w:hAnsiTheme="minorEastAsia" w:eastAsia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63B73"/>
    <w:multiLevelType w:val="singleLevel"/>
    <w:tmpl w:val="97E63B73"/>
    <w:lvl w:ilvl="0" w:tentative="0">
      <w:start w:val="1"/>
      <w:numFmt w:val="chineseCounting"/>
      <w:suff w:val="nothing"/>
      <w:lvlText w:val="（%1）"/>
      <w:lvlJc w:val="left"/>
      <w:rPr>
        <w:rFonts w:hint="eastAsia"/>
      </w:rPr>
    </w:lvl>
  </w:abstractNum>
  <w:abstractNum w:abstractNumId="1">
    <w:nsid w:val="B7719354"/>
    <w:multiLevelType w:val="singleLevel"/>
    <w:tmpl w:val="B7719354"/>
    <w:lvl w:ilvl="0" w:tentative="0">
      <w:start w:val="1"/>
      <w:numFmt w:val="chineseCounting"/>
      <w:suff w:val="nothing"/>
      <w:lvlText w:val="（%1）"/>
      <w:lvlJc w:val="left"/>
      <w:rPr>
        <w:rFonts w:hint="eastAsia"/>
      </w:rPr>
    </w:lvl>
  </w:abstractNum>
  <w:abstractNum w:abstractNumId="2">
    <w:nsid w:val="F5FC8248"/>
    <w:multiLevelType w:val="singleLevel"/>
    <w:tmpl w:val="F5FC8248"/>
    <w:lvl w:ilvl="0" w:tentative="0">
      <w:start w:val="1"/>
      <w:numFmt w:val="chineseCounting"/>
      <w:suff w:val="nothing"/>
      <w:lvlText w:val="（%1）"/>
      <w:lvlJc w:val="left"/>
      <w:rPr>
        <w:rFonts w:hint="eastAsia"/>
      </w:rPr>
    </w:lvl>
  </w:abstractNum>
  <w:abstractNum w:abstractNumId="3">
    <w:nsid w:val="0676EDE8"/>
    <w:multiLevelType w:val="singleLevel"/>
    <w:tmpl w:val="0676EDE8"/>
    <w:lvl w:ilvl="0" w:tentative="0">
      <w:start w:val="2"/>
      <w:numFmt w:val="chineseCounting"/>
      <w:suff w:val="nothing"/>
      <w:lvlText w:val="（%1）"/>
      <w:lvlJc w:val="left"/>
      <w:rPr>
        <w:rFonts w:hint="eastAsia"/>
      </w:rPr>
    </w:lvl>
  </w:abstractNum>
  <w:abstractNum w:abstractNumId="4">
    <w:nsid w:val="0CB59466"/>
    <w:multiLevelType w:val="singleLevel"/>
    <w:tmpl w:val="0CB59466"/>
    <w:lvl w:ilvl="0" w:tentative="0">
      <w:start w:val="4"/>
      <w:numFmt w:val="chineseCounting"/>
      <w:suff w:val="nothing"/>
      <w:lvlText w:val="（%1）"/>
      <w:lvlJc w:val="left"/>
      <w:rPr>
        <w:rFonts w:hint="eastAsia"/>
      </w:rPr>
    </w:lvl>
  </w:abstractNum>
  <w:abstractNum w:abstractNumId="5">
    <w:nsid w:val="24A22E3A"/>
    <w:multiLevelType w:val="singleLevel"/>
    <w:tmpl w:val="24A22E3A"/>
    <w:lvl w:ilvl="0" w:tentative="0">
      <w:start w:val="7"/>
      <w:numFmt w:val="chineseCounting"/>
      <w:suff w:val="nothing"/>
      <w:lvlText w:val="%1、"/>
      <w:lvlJc w:val="left"/>
      <w:rPr>
        <w:rFonts w:hint="eastAsia"/>
      </w:rPr>
    </w:lvl>
  </w:abstractNum>
  <w:abstractNum w:abstractNumId="6">
    <w:nsid w:val="2998EF7E"/>
    <w:multiLevelType w:val="singleLevel"/>
    <w:tmpl w:val="2998EF7E"/>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4C"/>
    <w:rsid w:val="000668AA"/>
    <w:rsid w:val="00073B97"/>
    <w:rsid w:val="0012342F"/>
    <w:rsid w:val="00130106"/>
    <w:rsid w:val="001A1104"/>
    <w:rsid w:val="00283DE5"/>
    <w:rsid w:val="002D4350"/>
    <w:rsid w:val="00311C34"/>
    <w:rsid w:val="00334B44"/>
    <w:rsid w:val="00337750"/>
    <w:rsid w:val="00365C96"/>
    <w:rsid w:val="00395D55"/>
    <w:rsid w:val="003D25EB"/>
    <w:rsid w:val="0044127C"/>
    <w:rsid w:val="004C52A4"/>
    <w:rsid w:val="00590B81"/>
    <w:rsid w:val="005C5FFD"/>
    <w:rsid w:val="005C6010"/>
    <w:rsid w:val="006579E4"/>
    <w:rsid w:val="006761E8"/>
    <w:rsid w:val="00690DCD"/>
    <w:rsid w:val="0078326E"/>
    <w:rsid w:val="007C242B"/>
    <w:rsid w:val="00841EA0"/>
    <w:rsid w:val="0085416D"/>
    <w:rsid w:val="008836DF"/>
    <w:rsid w:val="00883B24"/>
    <w:rsid w:val="00884A67"/>
    <w:rsid w:val="008D0BBE"/>
    <w:rsid w:val="008D450D"/>
    <w:rsid w:val="00983FAA"/>
    <w:rsid w:val="00A34100"/>
    <w:rsid w:val="00C07654"/>
    <w:rsid w:val="00CE2102"/>
    <w:rsid w:val="00D20523"/>
    <w:rsid w:val="00E71B8B"/>
    <w:rsid w:val="00EB517C"/>
    <w:rsid w:val="00ED6002"/>
    <w:rsid w:val="00EF614C"/>
    <w:rsid w:val="00F221A6"/>
    <w:rsid w:val="00F827D4"/>
    <w:rsid w:val="00FE6B39"/>
    <w:rsid w:val="010569BB"/>
    <w:rsid w:val="020D0006"/>
    <w:rsid w:val="051E257E"/>
    <w:rsid w:val="064B3A72"/>
    <w:rsid w:val="0AAF2EFD"/>
    <w:rsid w:val="0DA61699"/>
    <w:rsid w:val="0DCC1F2F"/>
    <w:rsid w:val="0E495CF9"/>
    <w:rsid w:val="11E36A77"/>
    <w:rsid w:val="12E60D86"/>
    <w:rsid w:val="13575714"/>
    <w:rsid w:val="164B51E1"/>
    <w:rsid w:val="1A887542"/>
    <w:rsid w:val="1C136BED"/>
    <w:rsid w:val="1FE268E7"/>
    <w:rsid w:val="21FC25B7"/>
    <w:rsid w:val="274A506A"/>
    <w:rsid w:val="2AB54EB7"/>
    <w:rsid w:val="2CC75845"/>
    <w:rsid w:val="2E762F5B"/>
    <w:rsid w:val="33596818"/>
    <w:rsid w:val="33E162A4"/>
    <w:rsid w:val="34E97715"/>
    <w:rsid w:val="359346EE"/>
    <w:rsid w:val="3F9032F1"/>
    <w:rsid w:val="3FD140EA"/>
    <w:rsid w:val="4389375C"/>
    <w:rsid w:val="44AB5669"/>
    <w:rsid w:val="4AB86F78"/>
    <w:rsid w:val="4BEB429E"/>
    <w:rsid w:val="4C150230"/>
    <w:rsid w:val="4C6A425C"/>
    <w:rsid w:val="51B82AB2"/>
    <w:rsid w:val="57F966E2"/>
    <w:rsid w:val="58B43026"/>
    <w:rsid w:val="5D16507D"/>
    <w:rsid w:val="66D402E5"/>
    <w:rsid w:val="6838538E"/>
    <w:rsid w:val="68715A86"/>
    <w:rsid w:val="68B94F43"/>
    <w:rsid w:val="68CB57E6"/>
    <w:rsid w:val="6D7E0B5E"/>
    <w:rsid w:val="6DA627B7"/>
    <w:rsid w:val="6EED1A53"/>
    <w:rsid w:val="6F1A7097"/>
    <w:rsid w:val="6F4D50A0"/>
    <w:rsid w:val="757415C3"/>
    <w:rsid w:val="7649092B"/>
    <w:rsid w:val="7A614B7F"/>
    <w:rsid w:val="7B850944"/>
    <w:rsid w:val="7E7A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0"/>
    <w:pPr>
      <w:keepNext/>
      <w:keepLines/>
      <w:spacing w:before="260" w:after="260" w:line="413" w:lineRule="auto"/>
      <w:outlineLvl w:val="1"/>
    </w:pPr>
    <w:rPr>
      <w:rFonts w:eastAsia="Kaiti SC"/>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28"/>
      <w:szCs w:val="28"/>
    </w:rPr>
  </w:style>
  <w:style w:type="paragraph" w:styleId="4">
    <w:name w:val="footer"/>
    <w:basedOn w:val="1"/>
    <w:link w:val="8"/>
    <w:unhideWhenUsed/>
    <w:qFormat/>
    <w:uiPriority w:val="99"/>
    <w:pPr>
      <w:tabs>
        <w:tab w:val="center" w:pos="4153"/>
        <w:tab w:val="right" w:pos="8306"/>
      </w:tabs>
    </w:pPr>
    <w:rPr>
      <w:sz w:val="18"/>
      <w:szCs w:val="18"/>
    </w:rPr>
  </w:style>
  <w:style w:type="paragraph" w:styleId="5">
    <w:name w:val="header"/>
    <w:basedOn w:val="1"/>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脚 字符"/>
    <w:basedOn w:val="7"/>
    <w:link w:val="4"/>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D1A6-920C-4306-AE17-20BBEA964284}">
  <ds:schemaRefs/>
</ds:datastoreItem>
</file>

<file path=docProps/app.xml><?xml version="1.0" encoding="utf-8"?>
<Properties xmlns="http://schemas.openxmlformats.org/officeDocument/2006/extended-properties" xmlns:vt="http://schemas.openxmlformats.org/officeDocument/2006/docPropsVTypes">
  <Template>Normal</Template>
  <Pages>17</Pages>
  <Words>7858</Words>
  <Characters>8077</Characters>
  <Lines>42</Lines>
  <Paragraphs>853</Paragraphs>
  <TotalTime>0</TotalTime>
  <ScaleCrop>false</ScaleCrop>
  <LinksUpToDate>false</LinksUpToDate>
  <CharactersWithSpaces>8083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2023-07-02T16:05:00Z</dcterms:created>
  <dc:creator>Econ</dc:creator>
  <cp:lastModifiedBy>付琦</cp:lastModifiedBy>
  <cp:lastPrinted>2025-12-26T07:06:00Z</cp:lastPrinted>
  <dcterms:modified xsi:type="dcterms:W3CDTF">2025-12-29T09:19:04Z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ACF7D070F1F34D47A65D7C907A7ADF7F_13</vt:lpwstr>
  </property>
  <property fmtid="{D5CDD505-2E9C-101B-9397-08002B2CF9AE}" pid="4" name="KSOTemplateDocerSaveRecord">
    <vt:lpwstr>eyJoZGlkIjoiODBhZWE0NmM0NjBhZjg5MzYwNzNhYmRhODBiZjgyMzkiLCJ1c2VySWQiOiI1MzM4MjkyNTAifQ==</vt:lpwstr>
  </property>
</Properties>
</file>